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5CACC" w14:textId="12F84563" w:rsidR="00CA376E" w:rsidRDefault="00CA376E" w:rsidP="00CA376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0E28F9">
        <w:rPr>
          <w:rFonts w:ascii="Arial" w:hAnsi="Arial" w:cs="Arial"/>
          <w:b/>
          <w:bCs/>
        </w:rPr>
        <w:t>1370</w:t>
      </w:r>
    </w:p>
    <w:p w14:paraId="49C683B7" w14:textId="75563995" w:rsidR="00136C56" w:rsidRPr="00145E5A" w:rsidRDefault="00CA376E" w:rsidP="00145E5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25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3A9BB941"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A8781E">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909096D" w:rsidR="00531215" w:rsidRPr="00764EBC" w:rsidRDefault="003D3C45" w:rsidP="00311702">
      <w:pPr>
        <w:pStyle w:val="3GPPHeader"/>
      </w:pPr>
      <w:r w:rsidRPr="00764EBC">
        <w:t>Title:</w:t>
      </w:r>
      <w:r w:rsidR="00E90E49" w:rsidRPr="00764EBC">
        <w:tab/>
      </w:r>
      <w:r w:rsidR="00A8781E">
        <w:t>Discussion</w:t>
      </w:r>
      <w:r w:rsidR="001C2DED">
        <w:t xml:space="preserve"> on </w:t>
      </w:r>
      <w:r w:rsidR="00495F3B">
        <w:t xml:space="preserve">Timing </w:t>
      </w:r>
      <w:r w:rsidR="00227C83">
        <w:t>Relationship</w:t>
      </w:r>
      <w:r w:rsidR="00A8781E">
        <w:t xml:space="preserve"> Enhancement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CDA94EA" w14:textId="0DC561F7" w:rsidR="00815CE8" w:rsidRDefault="00815CE8" w:rsidP="00815CE8">
      <w:pPr>
        <w:jc w:val="both"/>
      </w:pPr>
      <w:r>
        <w:t xml:space="preserve">The study item description of NB-IoT/eMTC support for NTN was provided in </w:t>
      </w:r>
      <w:r>
        <w:fldChar w:fldCharType="begin"/>
      </w:r>
      <w:r>
        <w:instrText xml:space="preserve"> REF _Ref46861923 \r \h </w:instrText>
      </w:r>
      <w:r>
        <w:fldChar w:fldCharType="separate"/>
      </w:r>
      <w:r>
        <w:t>[1]</w:t>
      </w:r>
      <w:r>
        <w:fldChar w:fldCharType="end"/>
      </w:r>
      <w:r>
        <w:t>. One objective of this study item is to enhance tim</w:t>
      </w:r>
      <w:r w:rsidR="004A78EE">
        <w:t>ing relationship</w:t>
      </w:r>
      <w:r>
        <w:t xml:space="preserve">, where the conclusions of the studies performed for NR NTN in </w:t>
      </w:r>
      <w:r>
        <w:fldChar w:fldCharType="begin"/>
      </w:r>
      <w:r>
        <w:instrText xml:space="preserve"> REF _Ref53646739 \r \h </w:instrText>
      </w:r>
      <w:r>
        <w:fldChar w:fldCharType="separate"/>
      </w:r>
      <w:r>
        <w:t>[2]</w:t>
      </w:r>
      <w:r>
        <w:fldChar w:fldCharType="end"/>
      </w:r>
      <w:r>
        <w:t xml:space="preserve"> should be reused as much as possible. </w:t>
      </w:r>
    </w:p>
    <w:p w14:paraId="27DDC513" w14:textId="77777777" w:rsidR="00BF2C61" w:rsidRPr="00E75532" w:rsidRDefault="00BF2C61" w:rsidP="00416D56">
      <w:pPr>
        <w:jc w:val="both"/>
        <w:rPr>
          <w:szCs w:val="20"/>
        </w:rPr>
      </w:pPr>
    </w:p>
    <w:p w14:paraId="05E5CF06" w14:textId="01ADF36C"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C0798" w:rsidRPr="003470D4">
        <w:rPr>
          <w:szCs w:val="20"/>
        </w:rPr>
        <w:t>the topics of</w:t>
      </w:r>
      <w:r w:rsidR="00145E5A">
        <w:rPr>
          <w:szCs w:val="20"/>
        </w:rPr>
        <w:t xml:space="preserve"> tim</w:t>
      </w:r>
      <w:r w:rsidR="004A78EE">
        <w:rPr>
          <w:szCs w:val="20"/>
        </w:rPr>
        <w:t>ing relationship, including</w:t>
      </w:r>
      <w:r w:rsidR="004A78EE" w:rsidRPr="004A78EE">
        <w:rPr>
          <w:szCs w:val="20"/>
        </w:rPr>
        <w:t xml:space="preserve"> </w:t>
      </w:r>
      <w:r w:rsidR="004A78EE">
        <w:rPr>
          <w:szCs w:val="20"/>
        </w:rPr>
        <w:t xml:space="preserve">the acquisition of time offset, and the usage of time offset in initial access and after initial access. </w:t>
      </w:r>
    </w:p>
    <w:p w14:paraId="2737EA15" w14:textId="46DA8FA6" w:rsidR="00355ACF" w:rsidRDefault="00EA5A5B" w:rsidP="00CA376E">
      <w:pPr>
        <w:pStyle w:val="Heading1"/>
      </w:pPr>
      <w:r>
        <w:t>Discussion</w:t>
      </w:r>
    </w:p>
    <w:p w14:paraId="5DDEAC37" w14:textId="62F2D434" w:rsidR="00A8781E" w:rsidRDefault="00250011" w:rsidP="00250011">
      <w:pPr>
        <w:jc w:val="both"/>
      </w:pPr>
      <w:r>
        <w:t xml:space="preserve">In NR over NTN </w:t>
      </w:r>
      <w:r>
        <w:fldChar w:fldCharType="begin"/>
      </w:r>
      <w:r>
        <w:instrText xml:space="preserve"> REF _Ref49784738 \r \h </w:instrText>
      </w:r>
      <w:r>
        <w:fldChar w:fldCharType="separate"/>
      </w:r>
      <w:r>
        <w:t>[3]</w:t>
      </w:r>
      <w:r>
        <w:fldChar w:fldCharType="end"/>
      </w:r>
      <w:r>
        <w:t xml:space="preserve"> </w:t>
      </w:r>
      <w:r>
        <w:fldChar w:fldCharType="begin"/>
      </w:r>
      <w:r>
        <w:instrText xml:space="preserve"> REF _Ref60650788 \r \h </w:instrText>
      </w:r>
      <w:r>
        <w:fldChar w:fldCharType="separate"/>
      </w:r>
      <w:r>
        <w:t>[4]</w:t>
      </w:r>
      <w:r>
        <w:fldChar w:fldCharType="end"/>
      </w:r>
      <w:r>
        <w:t xml:space="preserve">, the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introduced for UE’s downlink-uplink timing interaction, which is aimed to compensate the large propagation delay in NTN. This time offset is used to enhance the timing relationships of DCI scheduled PUSCH, RAR grant scheduled PUSCH, HARQ-ACK on PUCCH, aperiodic SRS and CSI reference resource timing</w:t>
      </w:r>
      <w:r w:rsidR="003B54AB">
        <w:t xml:space="preserve"> </w:t>
      </w:r>
      <w:r w:rsidR="003B54AB">
        <w:fldChar w:fldCharType="begin"/>
      </w:r>
      <w:r w:rsidR="003B54AB">
        <w:instrText xml:space="preserve"> REF _Ref49784738 \r \h </w:instrText>
      </w:r>
      <w:r w:rsidR="003B54AB">
        <w:fldChar w:fldCharType="separate"/>
      </w:r>
      <w:r w:rsidR="003B54AB">
        <w:t>[3]</w:t>
      </w:r>
      <w:r w:rsidR="003B54AB">
        <w:fldChar w:fldCharType="end"/>
      </w:r>
      <w:r>
        <w:t>. This time offset is further extended to 2-step RACH and type 2 configured grant</w:t>
      </w:r>
      <w:r w:rsidR="003B54AB">
        <w:t xml:space="preserve"> </w:t>
      </w:r>
      <w:r w:rsidR="003B54AB">
        <w:fldChar w:fldCharType="begin"/>
      </w:r>
      <w:r w:rsidR="003B54AB">
        <w:instrText xml:space="preserve"> REF _Ref60650788 \r \h </w:instrText>
      </w:r>
      <w:r w:rsidR="003B54AB">
        <w:fldChar w:fldCharType="separate"/>
      </w:r>
      <w:r w:rsidR="003B54AB">
        <w:t>[4]</w:t>
      </w:r>
      <w:r w:rsidR="003B54AB">
        <w:fldChar w:fldCharType="end"/>
      </w:r>
      <w:r w:rsidR="003B54AB">
        <w:t xml:space="preserve">. </w:t>
      </w:r>
      <w:r w:rsidR="00F63F94">
        <w:t xml:space="preserve">In general,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63F94">
        <w:t xml:space="preserve"> should be larger than the timing advance to ensure an uplink transmission occurs after receiving the </w:t>
      </w:r>
      <w:r w:rsidR="004A78EE">
        <w:t>corresponding</w:t>
      </w:r>
      <w:r w:rsidR="00F63F94">
        <w:t xml:space="preserve"> scheduling</w:t>
      </w:r>
      <w:r w:rsidR="004A78EE">
        <w:t xml:space="preserve"> information</w:t>
      </w:r>
      <w:r w:rsidR="00F63F94">
        <w:t>.</w:t>
      </w:r>
    </w:p>
    <w:p w14:paraId="4F3049E0" w14:textId="0A8EFFCD" w:rsidR="003B54AB" w:rsidRDefault="003B54AB" w:rsidP="00250011">
      <w:pPr>
        <w:jc w:val="both"/>
      </w:pPr>
    </w:p>
    <w:p w14:paraId="7A81F867" w14:textId="7217F746" w:rsidR="003B54AB" w:rsidRDefault="003B54AB" w:rsidP="003B54AB">
      <w:pPr>
        <w:jc w:val="both"/>
        <w:rPr>
          <w:bCs/>
          <w:iCs/>
        </w:rPr>
      </w:pPr>
      <w:r>
        <w:rPr>
          <w:bCs/>
          <w:iCs/>
        </w:rPr>
        <w:t>The network scheduling will be affected by the large propagation delay in NTN. Although the scheduling mechanism in NR is different from that in NB-IoT/eMTC, we think the principle of introducing a tim</w:t>
      </w:r>
      <w:r w:rsidR="00A12FF4">
        <w:rPr>
          <w:bCs/>
          <w:iCs/>
        </w:rPr>
        <w:t>e</w:t>
      </w:r>
      <w:r>
        <w:rPr>
          <w:bCs/>
          <w:iCs/>
        </w:rPr>
        <w:t xml:space="preserve"> offset for scheduling could be applied for both cases. For example, if network schedules an uplink transmission for an IoT device, </w:t>
      </w:r>
      <w:r w:rsidR="00F63F94">
        <w:rPr>
          <w:bCs/>
          <w:iCs/>
        </w:rPr>
        <w:t>it expects t</w:t>
      </w:r>
      <w:r w:rsidR="00A12FF4">
        <w:rPr>
          <w:bCs/>
          <w:iCs/>
        </w:rPr>
        <w:t>o receive t</w:t>
      </w:r>
      <w:r w:rsidR="00F63F94">
        <w:rPr>
          <w:bCs/>
          <w:iCs/>
        </w:rPr>
        <w:t xml:space="preserve">he uplink transmission </w:t>
      </w:r>
      <w:r w:rsidR="00EB5C2A">
        <w:rPr>
          <w:bCs/>
          <w:iCs/>
        </w:rPr>
        <w:t>much</w:t>
      </w:r>
      <w:r w:rsidR="00F63F94">
        <w:rPr>
          <w:bCs/>
          <w:iCs/>
        </w:rPr>
        <w:t xml:space="preserve"> later than the scheduled timing</w:t>
      </w:r>
      <w:r w:rsidR="00756873">
        <w:rPr>
          <w:bCs/>
          <w:iCs/>
        </w:rPr>
        <w:t xml:space="preserve"> (e.g., in DCI)</w:t>
      </w:r>
      <w:r w:rsidR="00F63F94">
        <w:rPr>
          <w:bCs/>
          <w:iCs/>
        </w:rPr>
        <w:t xml:space="preserve"> due to the large propagation delay in</w:t>
      </w:r>
      <w:r w:rsidR="00A12FF4">
        <w:rPr>
          <w:bCs/>
          <w:iCs/>
        </w:rPr>
        <w:t xml:space="preserve"> NTN</w:t>
      </w:r>
      <w:r w:rsidR="00F63F94">
        <w:rPr>
          <w:bCs/>
          <w:iCs/>
        </w:rPr>
        <w:t>.</w:t>
      </w:r>
      <w:r w:rsidR="00EB5C2A">
        <w:rPr>
          <w:bCs/>
          <w:iCs/>
        </w:rPr>
        <w:t xml:space="preserve"> He</w:t>
      </w:r>
      <w:r w:rsidR="0099183E">
        <w:rPr>
          <w:bCs/>
          <w:iCs/>
        </w:rPr>
        <w:t>r</w:t>
      </w:r>
      <w:r w:rsidR="00756873">
        <w:rPr>
          <w:bCs/>
          <w:iCs/>
        </w:rPr>
        <w:t>e</w:t>
      </w:r>
      <w:r w:rsidR="00EB5C2A">
        <w:rPr>
          <w:bCs/>
          <w:iCs/>
        </w:rPr>
        <w:t xml:space="preserve">,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EB5C2A">
        <w:t xml:space="preserve"> </w:t>
      </w:r>
      <w:r w:rsidR="00A12FF4">
        <w:t>sh</w:t>
      </w:r>
      <w:r w:rsidR="00EB5C2A">
        <w:t xml:space="preserve">ould be used for network to calculate the </w:t>
      </w:r>
      <w:r w:rsidR="00756873">
        <w:t>timing</w:t>
      </w:r>
      <w:r w:rsidR="00EB5C2A">
        <w:t xml:space="preserve"> of receiving the uplink transmission. </w:t>
      </w:r>
    </w:p>
    <w:p w14:paraId="15D39DBF" w14:textId="1FE9F6BD" w:rsidR="00F63F94" w:rsidRDefault="00F63F94" w:rsidP="003B54AB">
      <w:pPr>
        <w:jc w:val="both"/>
        <w:rPr>
          <w:bCs/>
          <w:iCs/>
        </w:rPr>
      </w:pPr>
    </w:p>
    <w:p w14:paraId="6DAB7A76" w14:textId="425E29E8" w:rsidR="00F63F94" w:rsidRDefault="00F63F94" w:rsidP="003B54AB">
      <w:pPr>
        <w:jc w:val="both"/>
        <w:rPr>
          <w:bCs/>
          <w:iCs/>
        </w:rPr>
      </w:pPr>
      <w:r w:rsidRPr="00F63F94">
        <w:rPr>
          <w:b/>
          <w:i/>
          <w:u w:val="single"/>
        </w:rPr>
        <w:t>Proposal 1:</w:t>
      </w:r>
      <w:r w:rsidRPr="00F63F94">
        <w:rPr>
          <w:i/>
        </w:rPr>
        <w:t xml:space="preserve"> </w:t>
      </w:r>
      <w:r>
        <w:rPr>
          <w:i/>
        </w:rPr>
        <w:t xml:space="preserve">IoT over NTN reuses </w:t>
      </w:r>
      <w:r w:rsidR="00165E1B">
        <w:rPr>
          <w:i/>
        </w:rPr>
        <w:t>the principle of</w:t>
      </w:r>
      <w:r>
        <w:rPr>
          <w:i/>
        </w:rPr>
        <w:t xml:space="preserve"> the timing relationship </w:t>
      </w:r>
      <w:r w:rsidR="00165E1B">
        <w:rPr>
          <w:i/>
        </w:rPr>
        <w:t>enhancement</w:t>
      </w:r>
      <w:r>
        <w:rPr>
          <w:i/>
        </w:rPr>
        <w:t xml:space="preserve"> in NR over NTN. </w:t>
      </w:r>
    </w:p>
    <w:p w14:paraId="0AD23E2F" w14:textId="1F35304A" w:rsidR="00815CE8" w:rsidRDefault="00815CE8" w:rsidP="00A8781E"/>
    <w:p w14:paraId="568A5C3A" w14:textId="2639E464" w:rsidR="00EB5C2A" w:rsidRDefault="00EB5C2A" w:rsidP="00EB5C2A">
      <w:pPr>
        <w:jc w:val="both"/>
      </w:pPr>
      <w:r>
        <w:t>In NR over NTN</w:t>
      </w:r>
      <w:r w:rsidR="00756873">
        <w:t xml:space="preserve"> </w:t>
      </w:r>
      <w:r w:rsidR="00756873">
        <w:fldChar w:fldCharType="begin"/>
      </w:r>
      <w:r w:rsidR="00756873">
        <w:instrText xml:space="preserve"> REF _Ref49784738 \r \h </w:instrText>
      </w:r>
      <w:r w:rsidR="00756873">
        <w:fldChar w:fldCharType="separate"/>
      </w:r>
      <w:r w:rsidR="00756873">
        <w:t>[3]</w:t>
      </w:r>
      <w:r w:rsidR="00756873">
        <w:fldChar w:fldCharType="end"/>
      </w:r>
      <w:r>
        <w:t xml:space="preserve">,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configuration, which is configured in system information and used in initial access, is supported. This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mainly used to enhance the timing relationship of RAR grant scheduled PUSCH and HARQ-ACK to Msg 4</w:t>
      </w:r>
      <w:r w:rsidR="00A12FF4">
        <w:t>/Msg B</w:t>
      </w:r>
      <w:r>
        <w:t xml:space="preserve">. We think the similar scheme could be used for IoT over NTN.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w:t>
      </w:r>
      <w:r w:rsidR="00A12FF4">
        <w:t>configured as system information</w:t>
      </w:r>
      <w:r>
        <w:t xml:space="preserve"> and is used to enhance the timing relationship at least in initial access. The selection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should be larger than the RTT between a timing reference point</w:t>
      </w:r>
      <w:r w:rsidR="00756873">
        <w:t xml:space="preserve"> (e.g., at satellite)</w:t>
      </w:r>
      <w:r>
        <w:t xml:space="preserve"> and the farthest UE in the coverage. </w:t>
      </w:r>
    </w:p>
    <w:p w14:paraId="57ED6BCF" w14:textId="77777777" w:rsidR="00815CE8" w:rsidRPr="00A8781E" w:rsidRDefault="00815CE8" w:rsidP="00A8781E"/>
    <w:p w14:paraId="6047CA0C" w14:textId="73D34420" w:rsidR="00A8781E" w:rsidRDefault="00A8781E" w:rsidP="00EB5C2A">
      <w:pPr>
        <w:jc w:val="both"/>
        <w:rPr>
          <w:i/>
        </w:rPr>
      </w:pPr>
      <w:r w:rsidRPr="00EB5C2A">
        <w:rPr>
          <w:b/>
          <w:i/>
          <w:u w:val="single"/>
        </w:rPr>
        <w:t xml:space="preserve">Proposal </w:t>
      </w:r>
      <w:r w:rsidR="00EB5C2A">
        <w:rPr>
          <w:b/>
          <w:i/>
          <w:u w:val="single"/>
        </w:rPr>
        <w:t>2</w:t>
      </w:r>
      <w:r w:rsidRPr="00EB5C2A">
        <w:rPr>
          <w:b/>
          <w:i/>
          <w:u w:val="single"/>
        </w:rPr>
        <w:t>:</w:t>
      </w:r>
      <w:r w:rsidRPr="00EB5C2A">
        <w:rPr>
          <w:i/>
        </w:rPr>
        <w:t xml:space="preserve">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EB5C2A">
        <w:rPr>
          <w:i/>
        </w:rPr>
        <w:t xml:space="preserve"> is configured as system information and is </w:t>
      </w:r>
      <w:r w:rsidR="00A12FF4">
        <w:rPr>
          <w:i/>
        </w:rPr>
        <w:t>used in initial access</w:t>
      </w:r>
      <w:r w:rsidRPr="00EB5C2A">
        <w:rPr>
          <w:i/>
        </w:rPr>
        <w:t>.</w:t>
      </w:r>
    </w:p>
    <w:p w14:paraId="3BA1082C" w14:textId="77777777" w:rsidR="00EB5C2A" w:rsidRPr="00EB5C2A" w:rsidRDefault="00EB5C2A" w:rsidP="00EB5C2A">
      <w:pPr>
        <w:jc w:val="both"/>
      </w:pPr>
    </w:p>
    <w:p w14:paraId="1675E5E5" w14:textId="3A21EB79" w:rsidR="00A8781E" w:rsidRDefault="00A8781E" w:rsidP="00A8781E">
      <w:pPr>
        <w:jc w:val="both"/>
        <w:rPr>
          <w:i/>
        </w:rPr>
      </w:pPr>
      <w:r w:rsidRPr="00EB5C2A">
        <w:rPr>
          <w:b/>
          <w:i/>
          <w:u w:val="single"/>
        </w:rPr>
        <w:t xml:space="preserve">Proposal </w:t>
      </w:r>
      <w:r w:rsidR="00EB5C2A">
        <w:rPr>
          <w:b/>
          <w:i/>
          <w:u w:val="single"/>
        </w:rPr>
        <w:t>3</w:t>
      </w:r>
      <w:r w:rsidRPr="00EB5C2A">
        <w:rPr>
          <w:b/>
          <w:i/>
          <w:u w:val="single"/>
        </w:rPr>
        <w:t>:</w:t>
      </w:r>
      <w:r w:rsidRPr="00EB5C2A">
        <w:rPr>
          <w:i/>
        </w:rPr>
        <w:t xml:space="preserve"> </w:t>
      </w:r>
      <w:r w:rsidR="00A23042">
        <w:rPr>
          <w:i/>
        </w:rPr>
        <w:t>A</w:t>
      </w:r>
      <w:r w:rsidRPr="00EB5C2A">
        <w:rPr>
          <w:i/>
        </w:rPr>
        <w:t xml:space="preserv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EB5C2A">
        <w:rPr>
          <w:i/>
        </w:rPr>
        <w:t xml:space="preserve"> is used to enhance the timing relationship of RAR grant scheduled PUSCH and HARQ-ACK to Msg 4.</w:t>
      </w:r>
      <w:r>
        <w:rPr>
          <w:i/>
        </w:rPr>
        <w:t xml:space="preserve">  </w:t>
      </w:r>
    </w:p>
    <w:p w14:paraId="6AFA09F7" w14:textId="77777777" w:rsidR="00250011" w:rsidRDefault="00250011" w:rsidP="008F05B6">
      <w:pPr>
        <w:jc w:val="both"/>
      </w:pPr>
    </w:p>
    <w:p w14:paraId="6CCD8545" w14:textId="1D96978F" w:rsidR="008F05B6" w:rsidRDefault="008F05B6" w:rsidP="008F05B6">
      <w:pPr>
        <w:jc w:val="both"/>
      </w:pPr>
      <w:r>
        <w:t>Due to large cell size, the propagation delay of UEs in a</w:t>
      </w:r>
      <w:r w:rsidR="00210B06">
        <w:t>n</w:t>
      </w:r>
      <w:r>
        <w:t xml:space="preserve"> NTN cell can have large variation. For example, the maximum differential delay in a GEO-based cell is up to 10.3 ms</w:t>
      </w:r>
      <w:r w:rsidR="008D0698">
        <w:t xml:space="preserve"> </w:t>
      </w:r>
      <w:r w:rsidR="008D0698">
        <w:fldChar w:fldCharType="begin"/>
      </w:r>
      <w:r w:rsidR="008D0698">
        <w:instrText xml:space="preserve"> REF _Ref50136235 \r \h </w:instrText>
      </w:r>
      <w:r w:rsidR="008D0698">
        <w:fldChar w:fldCharType="separate"/>
      </w:r>
      <w:r w:rsidR="008D0698">
        <w:t>[4]</w:t>
      </w:r>
      <w:r w:rsidR="008D0698">
        <w:fldChar w:fldCharType="end"/>
      </w:r>
      <w:r>
        <w:t>. The cell</w:t>
      </w:r>
      <w:r w:rsidR="00487F3C">
        <w:t xml:space="preserve"> </w:t>
      </w:r>
      <w:r>
        <w:t xml:space="preserve">specific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in initial access is not accurate for each individual UE. </w:t>
      </w:r>
    </w:p>
    <w:p w14:paraId="29BECAC9" w14:textId="17763F4A" w:rsidR="009D221C" w:rsidRDefault="009D221C" w:rsidP="008F05B6">
      <w:pPr>
        <w:jc w:val="both"/>
      </w:pPr>
    </w:p>
    <w:p w14:paraId="2E66AB30" w14:textId="384D854D" w:rsidR="009D221C" w:rsidRDefault="009D221C" w:rsidP="008F05B6">
      <w:pPr>
        <w:jc w:val="both"/>
      </w:pPr>
      <w:r>
        <w:t xml:space="preserve">It is open in NR over NTN where a UE specific time offset is used after the initial access. The value of UE specific time offset depends on the distance between UE and serving satellite. For network to calculate a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UE may need to frequently report its TA or </w:t>
      </w:r>
      <w:r w:rsidR="00A12FF4">
        <w:t>related</w:t>
      </w:r>
      <w:r>
        <w:t xml:space="preserve"> information to network due to satellite and UE movement. This involves additional signaling from UE to network.</w:t>
      </w:r>
    </w:p>
    <w:p w14:paraId="4B9D1F74" w14:textId="65CC8858" w:rsidR="009D221C" w:rsidRDefault="009D221C" w:rsidP="008F05B6">
      <w:pPr>
        <w:jc w:val="both"/>
      </w:pPr>
    </w:p>
    <w:p w14:paraId="5F21C867" w14:textId="43C0071E" w:rsidR="002674B6" w:rsidRDefault="009D221C" w:rsidP="008F05B6">
      <w:pPr>
        <w:jc w:val="both"/>
      </w:pPr>
      <w:r>
        <w:t xml:space="preserve">In IoT over NTN, </w:t>
      </w:r>
      <w:r w:rsidR="002674B6">
        <w:t>the motivation of using a UE specific time offset is not strong. The latency is not the critical KPI for IoT devices. For example, the latency requirement is up to 15 ms for eMTC devices and up to 10 seconds for NB-IoT devices. The maximum differential delay in a</w:t>
      </w:r>
      <w:r w:rsidR="00210B06">
        <w:t>n</w:t>
      </w:r>
      <w:r w:rsidR="002674B6">
        <w:t xml:space="preserve"> NTN cell is </w:t>
      </w:r>
      <w:r w:rsidR="00210B06">
        <w:t>acceptable</w:t>
      </w:r>
      <w:r w:rsidR="002674B6">
        <w:t xml:space="preserve"> in network scheduling, </w:t>
      </w:r>
      <w:r w:rsidR="0099183E">
        <w:t>comparing with</w:t>
      </w:r>
      <w:r w:rsidR="00210B06">
        <w:t xml:space="preserve"> </w:t>
      </w:r>
      <w:r w:rsidR="002674B6">
        <w:t xml:space="preserve">the latency requirements of </w:t>
      </w:r>
      <w:r w:rsidR="0066211B">
        <w:t xml:space="preserve">NB </w:t>
      </w:r>
      <w:r w:rsidR="002674B6">
        <w:t>IoT devices.</w:t>
      </w:r>
      <w:r w:rsidR="0066211B">
        <w:t xml:space="preserve"> </w:t>
      </w:r>
      <w:r w:rsidR="0099183E">
        <w:t>On the other hand, u</w:t>
      </w:r>
      <w:r w:rsidR="002674B6">
        <w:t xml:space="preserve">sing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674B6">
        <w:t xml:space="preserve"> for all UEs in </w:t>
      </w:r>
      <w:r w:rsidR="00210B06">
        <w:t>an NTN cell</w:t>
      </w:r>
      <w:r w:rsidR="002674B6">
        <w:t xml:space="preserve"> after initial access could save the signaling related t</w:t>
      </w:r>
      <w:r w:rsidR="00210B06">
        <w:t>o</w:t>
      </w:r>
      <w:r w:rsidR="002674B6">
        <w:t xml:space="preserve"> calculati</w:t>
      </w:r>
      <w:r w:rsidR="00210B06">
        <w:t>ng</w:t>
      </w:r>
      <w:r w:rsidR="002674B6">
        <w:t xml:space="preserv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674B6">
        <w:t xml:space="preserve">. </w:t>
      </w:r>
      <w:r w:rsidR="0066211B">
        <w:t>This</w:t>
      </w:r>
      <w:r w:rsidR="00210B06">
        <w:t xml:space="preserve"> signaling saving is significant in case the number of IoT devices in an NTN cell is large. </w:t>
      </w:r>
      <w:r w:rsidR="002674B6">
        <w:t xml:space="preserve">Hence, we have </w:t>
      </w:r>
      <w:r w:rsidR="0066211B">
        <w:t>the following proposal.</w:t>
      </w:r>
    </w:p>
    <w:p w14:paraId="750F4301" w14:textId="658A71F3" w:rsidR="009D221C" w:rsidRDefault="009D221C" w:rsidP="008F05B6">
      <w:pPr>
        <w:jc w:val="both"/>
      </w:pPr>
    </w:p>
    <w:p w14:paraId="0B426966" w14:textId="041D1EA1" w:rsidR="009D221C" w:rsidRDefault="002674B6" w:rsidP="008F05B6">
      <w:pPr>
        <w:jc w:val="both"/>
      </w:pPr>
      <w:r w:rsidRPr="002674B6">
        <w:rPr>
          <w:b/>
          <w:i/>
          <w:u w:val="single"/>
        </w:rPr>
        <w:t xml:space="preserve">Proposal </w:t>
      </w:r>
      <w:r>
        <w:rPr>
          <w:b/>
          <w:i/>
          <w:u w:val="single"/>
        </w:rPr>
        <w:t>4</w:t>
      </w:r>
      <w:r w:rsidRPr="002674B6">
        <w:rPr>
          <w:b/>
          <w:i/>
          <w:u w:val="single"/>
        </w:rPr>
        <w:t>:</w:t>
      </w:r>
      <w:r w:rsidRPr="002674B6">
        <w:rPr>
          <w:i/>
        </w:rPr>
        <w:t xml:space="preserve"> A </w:t>
      </w:r>
      <w:r w:rsidR="0066211B">
        <w:rPr>
          <w:i/>
        </w:rPr>
        <w:t xml:space="preserve">cell </w:t>
      </w:r>
      <w:r w:rsidRPr="002674B6">
        <w:rPr>
          <w:i/>
        </w:rPr>
        <w:t>specific</w:t>
      </w:r>
      <w:r w:rsidR="0066211B">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2674B6">
        <w:rPr>
          <w:i/>
        </w:rPr>
        <w:t xml:space="preserve"> is used after initial access</w:t>
      </w:r>
      <w:r w:rsidR="0066211B">
        <w:rPr>
          <w:i/>
        </w:rPr>
        <w:t xml:space="preserve"> at least for NB-IoT devices. </w:t>
      </w:r>
    </w:p>
    <w:p w14:paraId="55A028A7" w14:textId="48903169" w:rsidR="004E33B6" w:rsidRDefault="004E33B6" w:rsidP="008F05B6">
      <w:pPr>
        <w:jc w:val="both"/>
      </w:pPr>
    </w:p>
    <w:p w14:paraId="0B105369" w14:textId="7D3AB779" w:rsidR="0066211B" w:rsidRDefault="0066211B" w:rsidP="008F05B6">
      <w:pPr>
        <w:jc w:val="both"/>
      </w:pPr>
      <w:r>
        <w:t xml:space="preserve">Like in NR over NTN,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by a UE after initial access could be applied to enhance the timing relationships of DCI scheduled PUSCH, DCI scheduled aperiodic SRS</w:t>
      </w:r>
      <w:r w:rsidR="008C2EBC">
        <w:t xml:space="preserve">, </w:t>
      </w:r>
      <w:r>
        <w:t>HARQ-ACK on PUCCH</w:t>
      </w:r>
      <w:r w:rsidR="008C2EBC">
        <w:t xml:space="preserve"> and CSI reference resource timing. </w:t>
      </w:r>
    </w:p>
    <w:p w14:paraId="579ADCF7" w14:textId="77777777" w:rsidR="0066211B" w:rsidRDefault="0066211B" w:rsidP="008F05B6">
      <w:pPr>
        <w:jc w:val="both"/>
      </w:pPr>
    </w:p>
    <w:p w14:paraId="0155E6A9" w14:textId="1D4EF7F9" w:rsidR="00EB5C2A" w:rsidRDefault="0066211B" w:rsidP="008F05B6">
      <w:pPr>
        <w:jc w:val="both"/>
      </w:pPr>
      <w:r w:rsidRPr="00EB5C2A">
        <w:rPr>
          <w:b/>
          <w:i/>
          <w:u w:val="single"/>
        </w:rPr>
        <w:t xml:space="preserve">Proposal </w:t>
      </w:r>
      <w:r>
        <w:rPr>
          <w:b/>
          <w:i/>
          <w:u w:val="single"/>
        </w:rPr>
        <w:t>5</w:t>
      </w:r>
      <w:r w:rsidRPr="00EB5C2A">
        <w:rPr>
          <w:b/>
          <w:i/>
          <w:u w:val="single"/>
        </w:rPr>
        <w:t>:</w:t>
      </w:r>
      <w:r w:rsidRPr="00EB5C2A">
        <w:rPr>
          <w:i/>
        </w:rPr>
        <w:t xml:space="preserve">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EB5C2A">
        <w:rPr>
          <w:i/>
        </w:rPr>
        <w:t xml:space="preserve"> is used to enhance the timing relationship of </w:t>
      </w:r>
      <w:r>
        <w:rPr>
          <w:i/>
        </w:rPr>
        <w:t>DCI</w:t>
      </w:r>
      <w:r w:rsidRPr="00EB5C2A">
        <w:rPr>
          <w:i/>
        </w:rPr>
        <w:t xml:space="preserve"> scheduled PUSCH</w:t>
      </w:r>
      <w:r>
        <w:rPr>
          <w:i/>
        </w:rPr>
        <w:t>,</w:t>
      </w:r>
      <w:r w:rsidR="008C2EBC">
        <w:rPr>
          <w:i/>
        </w:rPr>
        <w:t xml:space="preserve"> DCI scheduled aperiodic SRS, </w:t>
      </w:r>
      <w:r w:rsidRPr="00EB5C2A">
        <w:rPr>
          <w:i/>
        </w:rPr>
        <w:t xml:space="preserve">HARQ-ACK </w:t>
      </w:r>
      <w:r>
        <w:rPr>
          <w:i/>
        </w:rPr>
        <w:t>on PUCCH</w:t>
      </w:r>
      <w:r w:rsidR="008C2EBC">
        <w:rPr>
          <w:i/>
        </w:rPr>
        <w:t>, and CSI reference resource timing.</w:t>
      </w:r>
    </w:p>
    <w:p w14:paraId="2FDCACC5" w14:textId="798BC945" w:rsidR="00EB5C2A" w:rsidRDefault="00EB5C2A" w:rsidP="008F05B6">
      <w:pPr>
        <w:jc w:val="both"/>
      </w:pPr>
    </w:p>
    <w:p w14:paraId="2939D8AC" w14:textId="2A9AA0B2" w:rsidR="002F4BA5" w:rsidRDefault="008D254E" w:rsidP="00916B3D">
      <w:pPr>
        <w:jc w:val="both"/>
        <w:rPr>
          <w:iCs/>
        </w:rPr>
      </w:pPr>
      <w:r>
        <w:t>I</w:t>
      </w:r>
      <w:r w:rsidR="004E33B6">
        <w:t>n</w:t>
      </w:r>
      <w:r>
        <w:t xml:space="preserve"> </w:t>
      </w:r>
      <w:r w:rsidR="004E33B6">
        <w:t xml:space="preserve">IoT over terrestrial network, </w:t>
      </w:r>
      <w:r>
        <w:t xml:space="preserve">it seems </w:t>
      </w:r>
      <w:r w:rsidR="004E33B6">
        <w:t>the tim</w:t>
      </w:r>
      <w:r>
        <w:t>ing</w:t>
      </w:r>
      <w:r w:rsidR="004E33B6">
        <w:t xml:space="preserve"> related to </w:t>
      </w:r>
      <w:r>
        <w:t xml:space="preserve">uplink </w:t>
      </w:r>
      <w:r w:rsidR="004E33B6">
        <w:t>scheduling and HARQ-ACK feedback takes the timing advance</w:t>
      </w:r>
      <w:r>
        <w:t xml:space="preserve"> (TA)</w:t>
      </w:r>
      <w:r w:rsidR="004E33B6">
        <w:t xml:space="preserve"> into account.</w:t>
      </w:r>
      <w:r>
        <w:t xml:space="preserve"> </w:t>
      </w:r>
      <w:r>
        <w:rPr>
          <w:iCs/>
        </w:rPr>
        <w:t xml:space="preserve">For example, in NB IoT over terrestrial network </w:t>
      </w:r>
      <w:r>
        <w:rPr>
          <w:iCs/>
        </w:rPr>
        <w:fldChar w:fldCharType="begin"/>
      </w:r>
      <w:r>
        <w:rPr>
          <w:iCs/>
        </w:rPr>
        <w:instrText xml:space="preserve"> REF _Ref60663368 \r \h </w:instrText>
      </w:r>
      <w:r>
        <w:rPr>
          <w:iCs/>
        </w:rPr>
      </w:r>
      <w:r>
        <w:rPr>
          <w:iCs/>
        </w:rPr>
        <w:fldChar w:fldCharType="separate"/>
      </w:r>
      <w:r>
        <w:rPr>
          <w:iCs/>
        </w:rPr>
        <w:t>[5]</w:t>
      </w:r>
      <w:r>
        <w:rPr>
          <w:iCs/>
        </w:rPr>
        <w:fldChar w:fldCharType="end"/>
      </w:r>
      <w:r>
        <w:rPr>
          <w:iCs/>
        </w:rPr>
        <w:t xml:space="preserve">, upon detecting a DCI format N0 ending in NB-IoT downlink subframe </w:t>
      </w:r>
      <m:oMath>
        <m:r>
          <w:rPr>
            <w:rFonts w:ascii="Cambria Math" w:hAnsi="Cambria Math"/>
          </w:rPr>
          <m:t>n</m:t>
        </m:r>
      </m:oMath>
      <w:r>
        <w:rPr>
          <w:iCs/>
        </w:rPr>
        <w:t xml:space="preserve"> intended for a UE, the UE transmits the corresponding NPUSCH using format 1, </w:t>
      </w:r>
      <w:r w:rsidRPr="008D254E">
        <w:rPr>
          <w:iCs/>
        </w:rPr>
        <w:t xml:space="preserve">starting from the first NB-IoT uplink slot after the end of downlink subframe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8D254E">
        <w:rPr>
          <w:iCs/>
        </w:rPr>
        <w:t>,</w:t>
      </w:r>
      <w:r>
        <w:rPr>
          <w:iCs/>
        </w:rPr>
        <w:t xml:space="preserve"> where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is determined by the DCI format N0 “scheduling delay” field. Note that the uplink transmission time is determined on top of the DCI reception time. This implies TA is already taken into account. </w:t>
      </w:r>
    </w:p>
    <w:p w14:paraId="29390742" w14:textId="0BD82C59" w:rsidR="008D254E" w:rsidRDefault="008D254E" w:rsidP="00916B3D">
      <w:pPr>
        <w:jc w:val="both"/>
        <w:rPr>
          <w:iCs/>
        </w:rPr>
      </w:pPr>
    </w:p>
    <w:p w14:paraId="3A882C68" w14:textId="62CAB6EC" w:rsidR="008D254E" w:rsidRPr="008D254E" w:rsidRDefault="008D254E" w:rsidP="00916B3D">
      <w:pPr>
        <w:jc w:val="both"/>
      </w:pPr>
      <w:r>
        <w:rPr>
          <w:iCs/>
        </w:rPr>
        <w:t>In another example of NB IoT over terrestrial network</w:t>
      </w:r>
      <w:r w:rsidR="008E7823">
        <w:rPr>
          <w:iCs/>
        </w:rPr>
        <w:t xml:space="preserve"> </w:t>
      </w:r>
      <w:r w:rsidR="008E7823">
        <w:rPr>
          <w:iCs/>
        </w:rPr>
        <w:fldChar w:fldCharType="begin"/>
      </w:r>
      <w:r w:rsidR="008E7823">
        <w:rPr>
          <w:iCs/>
        </w:rPr>
        <w:instrText xml:space="preserve"> REF _Ref60663368 \r \h </w:instrText>
      </w:r>
      <w:r w:rsidR="008E7823">
        <w:rPr>
          <w:iCs/>
        </w:rPr>
      </w:r>
      <w:r w:rsidR="008E7823">
        <w:rPr>
          <w:iCs/>
        </w:rPr>
        <w:fldChar w:fldCharType="separate"/>
      </w:r>
      <w:r w:rsidR="008E7823">
        <w:rPr>
          <w:iCs/>
        </w:rPr>
        <w:t>[5]</w:t>
      </w:r>
      <w:r w:rsidR="008E7823">
        <w:rPr>
          <w:iCs/>
        </w:rPr>
        <w:fldChar w:fldCharType="end"/>
      </w:r>
      <w:r>
        <w:rPr>
          <w:iCs/>
        </w:rPr>
        <w:t xml:space="preserve">, upon detecting a NPDSCH transmission ending in NB-IoT downlink subframe </w:t>
      </w:r>
      <m:oMath>
        <m:r>
          <w:rPr>
            <w:rFonts w:ascii="Cambria Math" w:hAnsi="Cambria Math"/>
          </w:rPr>
          <m:t>n</m:t>
        </m:r>
      </m:oMath>
      <w:r>
        <w:rPr>
          <w:iCs/>
        </w:rPr>
        <w:t xml:space="preserve"> intended for a UE, the UE transmits the corresponding ACK/NACK</w:t>
      </w:r>
      <w:r w:rsidR="007E5231">
        <w:rPr>
          <w:iCs/>
        </w:rPr>
        <w:t xml:space="preserve"> in NPUSCH format 2</w:t>
      </w:r>
      <w:r>
        <w:rPr>
          <w:iCs/>
        </w:rPr>
        <w:t xml:space="preserve">, starting from the first NB-IoT uplink slot after the end of downlink subframe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where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is determined by DCI format N1 “HARQ-ACK resource” field. Again, the HARQ-ACK feedback time is determined on top of the NPDSCH reception time, which implies TA is already taken into account. </w:t>
      </w:r>
    </w:p>
    <w:p w14:paraId="5C7234F6" w14:textId="4C52B536" w:rsidR="001E6C57" w:rsidRDefault="001E6C57" w:rsidP="00CF28DE">
      <w:pPr>
        <w:jc w:val="both"/>
        <w:rPr>
          <w:iCs/>
        </w:rPr>
      </w:pPr>
    </w:p>
    <w:p w14:paraId="54187845" w14:textId="76E5A4DE" w:rsidR="007E5231" w:rsidRDefault="007E5231" w:rsidP="00916B3D">
      <w:pPr>
        <w:jc w:val="both"/>
        <w:rPr>
          <w:iCs/>
        </w:rPr>
      </w:pPr>
      <w:r>
        <w:rPr>
          <w:iCs/>
        </w:rPr>
        <w:t xml:space="preserve">The </w:t>
      </w:r>
      <w:r w:rsidR="00210B06">
        <w:rPr>
          <w:iCs/>
        </w:rPr>
        <w:t xml:space="preserve">current </w:t>
      </w:r>
      <w:r>
        <w:rPr>
          <w:iCs/>
        </w:rPr>
        <w:t>specification of IoT over terrestrial network ensure</w:t>
      </w:r>
      <w:r w:rsidR="007C2CB2">
        <w:rPr>
          <w:iCs/>
        </w:rPr>
        <w:t>s</w:t>
      </w:r>
      <w:r>
        <w:rPr>
          <w:iCs/>
        </w:rPr>
        <w:t xml:space="preserve"> the uplink transmission </w:t>
      </w:r>
      <w:r w:rsidR="00210B06">
        <w:rPr>
          <w:iCs/>
        </w:rPr>
        <w:t xml:space="preserve">is always after the reception of </w:t>
      </w:r>
      <w:r>
        <w:rPr>
          <w:iCs/>
        </w:rPr>
        <w:t xml:space="preserve">scheduling. However, it is </w:t>
      </w:r>
      <w:r w:rsidR="007C2CB2">
        <w:rPr>
          <w:iCs/>
        </w:rPr>
        <w:t>not obvious</w:t>
      </w:r>
      <w:r>
        <w:rPr>
          <w:iCs/>
        </w:rPr>
        <w:t xml:space="preserve"> to</w:t>
      </w:r>
      <w:r w:rsidR="007C2CB2">
        <w:rPr>
          <w:iCs/>
        </w:rPr>
        <w:t xml:space="preserve"> directly expand this specification to IoT over NTN. To align the uplink transmission timing between network and UE in IoT over NTN,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7C2CB2">
        <w:t xml:space="preserve"> needs to be used at UE side to determine its uplink transmission time, since it is used at network side to determine the uplink reception time. However, the usage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7C2CB2">
        <w:t xml:space="preserve"> in determining </w:t>
      </w:r>
      <w:r w:rsidR="007C2CB2">
        <w:lastRenderedPageBreak/>
        <w:t xml:space="preserve">UE’s uplink transmission slot needs to remove </w:t>
      </w:r>
      <w:r w:rsidR="00756873">
        <w:t>the impact of TA. F</w:t>
      </w:r>
      <w:r>
        <w:t>urther study is needed to align the scheduling timing between</w:t>
      </w:r>
      <w:r w:rsidR="00756873">
        <w:t xml:space="preserve"> UE and</w:t>
      </w:r>
      <w:r>
        <w:t xml:space="preserve"> network</w:t>
      </w:r>
      <w:r w:rsidR="00756873">
        <w:t>.</w:t>
      </w:r>
    </w:p>
    <w:p w14:paraId="04FA2D67" w14:textId="77777777" w:rsidR="007E5231" w:rsidRDefault="007E5231" w:rsidP="00916B3D">
      <w:pPr>
        <w:jc w:val="both"/>
        <w:rPr>
          <w:iCs/>
        </w:rPr>
      </w:pPr>
    </w:p>
    <w:p w14:paraId="61E6B5D5" w14:textId="2DEFF07F" w:rsidR="008C2EBC" w:rsidRPr="007E5231" w:rsidRDefault="00BC3B0D" w:rsidP="00916B3D">
      <w:pPr>
        <w:jc w:val="both"/>
        <w:rPr>
          <w:iCs/>
        </w:rPr>
      </w:pPr>
      <w:r w:rsidRPr="00756873">
        <w:rPr>
          <w:b/>
          <w:i/>
          <w:u w:val="single"/>
        </w:rPr>
        <w:t xml:space="preserve">Proposal </w:t>
      </w:r>
      <w:r w:rsidR="008C2EBC" w:rsidRPr="00756873">
        <w:rPr>
          <w:b/>
          <w:i/>
          <w:u w:val="single"/>
        </w:rPr>
        <w:t>6</w:t>
      </w:r>
      <w:r w:rsidRPr="00756873">
        <w:rPr>
          <w:b/>
          <w:i/>
          <w:u w:val="single"/>
        </w:rPr>
        <w:t>:</w:t>
      </w:r>
      <w:r w:rsidRPr="00756873">
        <w:rPr>
          <w:i/>
        </w:rPr>
        <w:t xml:space="preserve"> </w:t>
      </w:r>
      <w:r w:rsidR="008E7823" w:rsidRPr="00756873">
        <w:rPr>
          <w:i/>
        </w:rPr>
        <w:t>RAN1 to study how to align the scheduling timing between UE and network.</w:t>
      </w:r>
      <w:r w:rsidR="008E7823">
        <w:rPr>
          <w:i/>
        </w:rPr>
        <w:t xml:space="preserve"> </w:t>
      </w:r>
      <w:r w:rsidR="008C2EBC">
        <w:rPr>
          <w:i/>
        </w:rPr>
        <w:t xml:space="preserve"> </w:t>
      </w:r>
    </w:p>
    <w:p w14:paraId="32662686" w14:textId="77777777" w:rsidR="00DE52EE" w:rsidRPr="00DE52EE" w:rsidRDefault="00DE52EE" w:rsidP="00163AAA">
      <w:pPr>
        <w:jc w:val="both"/>
        <w:rPr>
          <w:i/>
        </w:rPr>
      </w:pPr>
    </w:p>
    <w:p w14:paraId="2896E657" w14:textId="2DF29AD0" w:rsidR="00854A60" w:rsidRPr="00A6576F" w:rsidRDefault="009C5A97" w:rsidP="00FB330B">
      <w:pPr>
        <w:pStyle w:val="Heading1"/>
      </w:pPr>
      <w:r w:rsidRPr="00A6576F">
        <w:t>Conclusion</w:t>
      </w:r>
    </w:p>
    <w:p w14:paraId="1C116919" w14:textId="51C12C8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w:t>
      </w:r>
      <w:r w:rsidR="00DE52EE">
        <w:rPr>
          <w:szCs w:val="20"/>
        </w:rPr>
        <w:t xml:space="preserve">IoT </w:t>
      </w:r>
      <w:r w:rsidR="009C0798">
        <w:rPr>
          <w:szCs w:val="20"/>
        </w:rPr>
        <w:t xml:space="preserve">NTN. </w:t>
      </w:r>
      <w:r w:rsidR="009C0798">
        <w:t xml:space="preserve">Our proposals are as follows: </w:t>
      </w:r>
    </w:p>
    <w:p w14:paraId="7AD66FF6" w14:textId="78078FA4" w:rsidR="008E7823" w:rsidRDefault="008E7823" w:rsidP="009C0798">
      <w:pPr>
        <w:jc w:val="both"/>
      </w:pPr>
    </w:p>
    <w:p w14:paraId="08B0DD44" w14:textId="77777777" w:rsidR="00A12FF4" w:rsidRDefault="00A12FF4" w:rsidP="00A12FF4">
      <w:pPr>
        <w:jc w:val="both"/>
        <w:rPr>
          <w:bCs/>
          <w:iCs/>
        </w:rPr>
      </w:pPr>
      <w:r w:rsidRPr="00F63F94">
        <w:rPr>
          <w:b/>
          <w:i/>
          <w:u w:val="single"/>
        </w:rPr>
        <w:t>Proposal 1:</w:t>
      </w:r>
      <w:r w:rsidRPr="00F63F94">
        <w:rPr>
          <w:i/>
        </w:rPr>
        <w:t xml:space="preserve"> </w:t>
      </w:r>
      <w:r>
        <w:rPr>
          <w:i/>
        </w:rPr>
        <w:t xml:space="preserve">IoT over NTN reuses the principle of the timing relationship enhancement in NR over NTN. </w:t>
      </w:r>
    </w:p>
    <w:p w14:paraId="036860AE" w14:textId="77777777" w:rsidR="008E7823" w:rsidRPr="008E7823" w:rsidRDefault="008E7823" w:rsidP="009C0798">
      <w:pPr>
        <w:jc w:val="both"/>
        <w:rPr>
          <w:bCs/>
          <w:iCs/>
        </w:rPr>
      </w:pPr>
    </w:p>
    <w:p w14:paraId="13AE62C4" w14:textId="77777777" w:rsidR="00A12FF4" w:rsidRDefault="00A12FF4" w:rsidP="00A12FF4">
      <w:pPr>
        <w:jc w:val="both"/>
        <w:rPr>
          <w:i/>
        </w:rPr>
      </w:pPr>
      <w:r w:rsidRPr="00EB5C2A">
        <w:rPr>
          <w:b/>
          <w:i/>
          <w:u w:val="single"/>
        </w:rPr>
        <w:t xml:space="preserve">Proposal </w:t>
      </w:r>
      <w:r>
        <w:rPr>
          <w:b/>
          <w:i/>
          <w:u w:val="single"/>
        </w:rPr>
        <w:t>2</w:t>
      </w:r>
      <w:r w:rsidRPr="00EB5C2A">
        <w:rPr>
          <w:b/>
          <w:i/>
          <w:u w:val="single"/>
        </w:rPr>
        <w:t>:</w:t>
      </w:r>
      <w:r w:rsidRPr="00EB5C2A">
        <w:rPr>
          <w:i/>
        </w:rPr>
        <w:t xml:space="preserve">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EB5C2A">
        <w:rPr>
          <w:i/>
        </w:rPr>
        <w:t xml:space="preserve"> is configured as system information and is </w:t>
      </w:r>
      <w:r>
        <w:rPr>
          <w:i/>
        </w:rPr>
        <w:t>used in initial access</w:t>
      </w:r>
      <w:r w:rsidRPr="00EB5C2A">
        <w:rPr>
          <w:i/>
        </w:rPr>
        <w:t>.</w:t>
      </w:r>
    </w:p>
    <w:p w14:paraId="67BE4B9F" w14:textId="77777777" w:rsidR="008E7823" w:rsidRPr="00EB5C2A" w:rsidRDefault="008E7823" w:rsidP="008E7823">
      <w:pPr>
        <w:jc w:val="both"/>
      </w:pPr>
    </w:p>
    <w:p w14:paraId="1A405032" w14:textId="77777777" w:rsidR="00A12FF4" w:rsidRDefault="00A12FF4" w:rsidP="00A12FF4">
      <w:pPr>
        <w:jc w:val="both"/>
        <w:rPr>
          <w:i/>
        </w:rPr>
      </w:pPr>
      <w:r w:rsidRPr="00EB5C2A">
        <w:rPr>
          <w:b/>
          <w:i/>
          <w:u w:val="single"/>
        </w:rPr>
        <w:t xml:space="preserve">Proposal </w:t>
      </w:r>
      <w:r>
        <w:rPr>
          <w:b/>
          <w:i/>
          <w:u w:val="single"/>
        </w:rPr>
        <w:t>3</w:t>
      </w:r>
      <w:r w:rsidRPr="00EB5C2A">
        <w:rPr>
          <w:b/>
          <w:i/>
          <w:u w:val="single"/>
        </w:rPr>
        <w:t>:</w:t>
      </w:r>
      <w:r w:rsidRPr="00EB5C2A">
        <w:rPr>
          <w:i/>
        </w:rPr>
        <w:t xml:space="preserve"> </w:t>
      </w:r>
      <w:r>
        <w:rPr>
          <w:i/>
        </w:rPr>
        <w:t>A</w:t>
      </w:r>
      <w:r w:rsidRPr="00EB5C2A">
        <w:rPr>
          <w:i/>
        </w:rPr>
        <w:t xml:space="preserv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EB5C2A">
        <w:rPr>
          <w:i/>
        </w:rPr>
        <w:t xml:space="preserve"> is used to enhance the timing relationship of RAR grant scheduled PUSCH and HARQ-ACK to Msg 4.</w:t>
      </w:r>
      <w:r>
        <w:rPr>
          <w:i/>
        </w:rPr>
        <w:t xml:space="preserve">  </w:t>
      </w:r>
    </w:p>
    <w:p w14:paraId="4132A821" w14:textId="4F68CC69" w:rsidR="008E7823" w:rsidRDefault="008E7823" w:rsidP="009C0798">
      <w:pPr>
        <w:jc w:val="both"/>
      </w:pPr>
    </w:p>
    <w:p w14:paraId="025C48AA" w14:textId="77777777" w:rsidR="008E7823" w:rsidRDefault="008E7823" w:rsidP="008E7823">
      <w:pPr>
        <w:jc w:val="both"/>
      </w:pPr>
      <w:r w:rsidRPr="002674B6">
        <w:rPr>
          <w:b/>
          <w:i/>
          <w:u w:val="single"/>
        </w:rPr>
        <w:t xml:space="preserve">Proposal </w:t>
      </w:r>
      <w:r>
        <w:rPr>
          <w:b/>
          <w:i/>
          <w:u w:val="single"/>
        </w:rPr>
        <w:t>4</w:t>
      </w:r>
      <w:r w:rsidRPr="002674B6">
        <w:rPr>
          <w:b/>
          <w:i/>
          <w:u w:val="single"/>
        </w:rPr>
        <w:t>:</w:t>
      </w:r>
      <w:r w:rsidRPr="002674B6">
        <w:rPr>
          <w:i/>
        </w:rPr>
        <w:t xml:space="preserve"> A </w:t>
      </w:r>
      <w:r>
        <w:rPr>
          <w:i/>
        </w:rPr>
        <w:t xml:space="preserve">cell </w:t>
      </w:r>
      <w:r w:rsidRPr="002674B6">
        <w:rPr>
          <w:i/>
        </w:rPr>
        <w:t>specific</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2674B6">
        <w:rPr>
          <w:i/>
        </w:rPr>
        <w:t xml:space="preserve"> is used after initial access</w:t>
      </w:r>
      <w:r>
        <w:rPr>
          <w:i/>
        </w:rPr>
        <w:t xml:space="preserve"> at least for NB-IoT devices. </w:t>
      </w:r>
    </w:p>
    <w:p w14:paraId="329B839B" w14:textId="77777777" w:rsidR="008E7823" w:rsidRDefault="008E7823" w:rsidP="008E7823">
      <w:pPr>
        <w:jc w:val="both"/>
      </w:pPr>
    </w:p>
    <w:p w14:paraId="0276AA7F" w14:textId="173C4D6A" w:rsidR="008E7823" w:rsidRDefault="008E7823" w:rsidP="009C0798">
      <w:pPr>
        <w:jc w:val="both"/>
      </w:pPr>
      <w:r w:rsidRPr="00EB5C2A">
        <w:rPr>
          <w:b/>
          <w:i/>
          <w:u w:val="single"/>
        </w:rPr>
        <w:t xml:space="preserve">Proposal </w:t>
      </w:r>
      <w:r>
        <w:rPr>
          <w:b/>
          <w:i/>
          <w:u w:val="single"/>
        </w:rPr>
        <w:t>5</w:t>
      </w:r>
      <w:r w:rsidRPr="00EB5C2A">
        <w:rPr>
          <w:b/>
          <w:i/>
          <w:u w:val="single"/>
        </w:rPr>
        <w:t>:</w:t>
      </w:r>
      <w:r w:rsidRPr="00EB5C2A">
        <w:rPr>
          <w:i/>
        </w:rPr>
        <w:t xml:space="preserve">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EB5C2A">
        <w:rPr>
          <w:i/>
        </w:rPr>
        <w:t xml:space="preserve"> is used to enhance the timing relationship of </w:t>
      </w:r>
      <w:r>
        <w:rPr>
          <w:i/>
        </w:rPr>
        <w:t>DCI</w:t>
      </w:r>
      <w:r w:rsidRPr="00EB5C2A">
        <w:rPr>
          <w:i/>
        </w:rPr>
        <w:t xml:space="preserve"> scheduled PUSCH</w:t>
      </w:r>
      <w:r>
        <w:rPr>
          <w:i/>
        </w:rPr>
        <w:t xml:space="preserve">, DCI scheduled aperiodic SRS, </w:t>
      </w:r>
      <w:r w:rsidRPr="00EB5C2A">
        <w:rPr>
          <w:i/>
        </w:rPr>
        <w:t xml:space="preserve">HARQ-ACK </w:t>
      </w:r>
      <w:r>
        <w:rPr>
          <w:i/>
        </w:rPr>
        <w:t>on PUCCH, and CSI reference resource timing.</w:t>
      </w:r>
    </w:p>
    <w:p w14:paraId="277FC40D" w14:textId="17B36D76" w:rsidR="005B5115" w:rsidRDefault="005B5115" w:rsidP="005B5115">
      <w:pPr>
        <w:jc w:val="both"/>
        <w:rPr>
          <w:iCs/>
        </w:rPr>
      </w:pPr>
    </w:p>
    <w:p w14:paraId="21FBBF97" w14:textId="75A9A209" w:rsidR="008E7823" w:rsidRPr="007E5231" w:rsidRDefault="008E7823" w:rsidP="008E7823">
      <w:pPr>
        <w:jc w:val="both"/>
        <w:rPr>
          <w:iCs/>
        </w:rPr>
      </w:pPr>
      <w:r w:rsidRPr="00CA376E">
        <w:rPr>
          <w:b/>
          <w:i/>
          <w:u w:val="single"/>
        </w:rPr>
        <w:t xml:space="preserve">Proposal </w:t>
      </w:r>
      <w:r>
        <w:rPr>
          <w:b/>
          <w:i/>
          <w:u w:val="single"/>
        </w:rPr>
        <w:t>6</w:t>
      </w:r>
      <w:r w:rsidRPr="00CA376E">
        <w:rPr>
          <w:b/>
          <w:i/>
          <w:u w:val="single"/>
        </w:rPr>
        <w:t>:</w:t>
      </w:r>
      <w:r w:rsidRPr="00CA376E">
        <w:rPr>
          <w:i/>
        </w:rPr>
        <w:t xml:space="preserve"> </w:t>
      </w:r>
      <w:r>
        <w:rPr>
          <w:i/>
        </w:rPr>
        <w:t xml:space="preserve">RAN1 to study how to align the scheduling timing between UE and network.  </w:t>
      </w:r>
    </w:p>
    <w:p w14:paraId="51A393D5" w14:textId="77777777" w:rsidR="00E42704" w:rsidRPr="00FD4C3F" w:rsidRDefault="00E42704" w:rsidP="00B42176">
      <w:pPr>
        <w:jc w:val="both"/>
        <w:rPr>
          <w:i/>
        </w:rPr>
      </w:pPr>
    </w:p>
    <w:p w14:paraId="2E75F001" w14:textId="77777777" w:rsidR="007E70BB" w:rsidRPr="00A6576F" w:rsidRDefault="005C63AE" w:rsidP="007E70BB">
      <w:pPr>
        <w:pStyle w:val="Heading1"/>
      </w:pPr>
      <w:r w:rsidRPr="00A6576F">
        <w:t>References</w:t>
      </w:r>
    </w:p>
    <w:p w14:paraId="0449C24B" w14:textId="3F084835"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30519541"/>
      <w:bookmarkStart w:id="2" w:name="_Ref30499280"/>
      <w:r>
        <w:t>RP-20</w:t>
      </w:r>
      <w:r w:rsidR="00F94D45">
        <w:t>2</w:t>
      </w:r>
      <w:r w:rsidR="00815CE8">
        <w:t>689</w:t>
      </w:r>
      <w:r>
        <w:t xml:space="preserve">, </w:t>
      </w:r>
      <w:r w:rsidR="00AF6AD3">
        <w:t>“</w:t>
      </w:r>
      <w:r w:rsidR="00815CE8">
        <w:t>New study WID on NB-IoT/eMTC support for NTN</w:t>
      </w:r>
      <w:r>
        <w:t>,</w:t>
      </w:r>
      <w:r w:rsidR="00AF6AD3">
        <w:t>”</w:t>
      </w:r>
      <w:r>
        <w:t xml:space="preserve"> </w:t>
      </w:r>
      <w:r w:rsidR="00F94D45">
        <w:t>Dec</w:t>
      </w:r>
      <w:r>
        <w:t>. 2020.</w:t>
      </w:r>
      <w:bookmarkEnd w:id="0"/>
      <w:r>
        <w:t xml:space="preserve"> </w:t>
      </w:r>
    </w:p>
    <w:p w14:paraId="7BEAAC42" w14:textId="77777777" w:rsidR="00815CE8" w:rsidRDefault="00815CE8" w:rsidP="00815C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53646739"/>
      <w:bookmarkEnd w:id="1"/>
      <w:bookmarkEnd w:id="2"/>
      <w:r>
        <w:t>3GPP TR 38.821, Solution for NR to support non terrestrial networks (NTN), v. 16.2.0, Dec. 2019.</w:t>
      </w:r>
      <w:bookmarkEnd w:id="3"/>
    </w:p>
    <w:p w14:paraId="49D899C4" w14:textId="77777777" w:rsidR="00250011" w:rsidRDefault="00250011" w:rsidP="002500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49784738"/>
      <w:r>
        <w:t>Chairman’s Notes, 3GPP TSG RAN1 WG1 #103-e Meeting, Nov. 2020.</w:t>
      </w:r>
      <w:bookmarkEnd w:id="4"/>
    </w:p>
    <w:p w14:paraId="3C5CB47C" w14:textId="11BFCE02" w:rsidR="00FD4C3F" w:rsidRDefault="00250011" w:rsidP="002500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0650788"/>
      <w:r>
        <w:t>Chairman’s Notes, 3GPP TSG RAN1 WG1 #102-e Meeting, Aug. 2020.</w:t>
      </w:r>
      <w:bookmarkEnd w:id="5"/>
    </w:p>
    <w:p w14:paraId="064ED6BB" w14:textId="3C90B739" w:rsidR="008D254E" w:rsidRPr="00175F67" w:rsidRDefault="008D254E" w:rsidP="002500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0663368"/>
      <w:r>
        <w:t>3GPP TS 36.213, Evolved universal terrestrial radio access (E-UTRA): Physical layer procedures, v.16.3.0, Sep. 2020.</w:t>
      </w:r>
      <w:bookmarkEnd w:id="6"/>
      <w:r>
        <w:t xml:space="preserve">  </w:t>
      </w:r>
    </w:p>
    <w:sectPr w:rsidR="008D254E"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558FA" w14:textId="77777777" w:rsidR="00587148" w:rsidRDefault="00587148">
      <w:r>
        <w:separator/>
      </w:r>
    </w:p>
  </w:endnote>
  <w:endnote w:type="continuationSeparator" w:id="0">
    <w:p w14:paraId="2DC8BDF4" w14:textId="77777777" w:rsidR="00587148" w:rsidRDefault="00587148">
      <w:r>
        <w:continuationSeparator/>
      </w:r>
    </w:p>
  </w:endnote>
  <w:endnote w:type="continuationNotice" w:id="1">
    <w:p w14:paraId="789E4241" w14:textId="77777777" w:rsidR="00587148" w:rsidRDefault="00587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D6497" w14:textId="77777777" w:rsidR="00587148" w:rsidRDefault="00587148">
      <w:r>
        <w:separator/>
      </w:r>
    </w:p>
  </w:footnote>
  <w:footnote w:type="continuationSeparator" w:id="0">
    <w:p w14:paraId="0B5F9390" w14:textId="77777777" w:rsidR="00587148" w:rsidRDefault="00587148">
      <w:r>
        <w:continuationSeparator/>
      </w:r>
    </w:p>
  </w:footnote>
  <w:footnote w:type="continuationNotice" w:id="1">
    <w:p w14:paraId="39B4364B" w14:textId="77777777" w:rsidR="00587148" w:rsidRDefault="005871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20"/>
  </w:num>
  <w:num w:numId="10">
    <w:abstractNumId w:val="0"/>
  </w:num>
  <w:num w:numId="11">
    <w:abstractNumId w:val="26"/>
  </w:num>
  <w:num w:numId="12">
    <w:abstractNumId w:val="5"/>
  </w:num>
  <w:num w:numId="13">
    <w:abstractNumId w:val="22"/>
  </w:num>
  <w:num w:numId="14">
    <w:abstractNumId w:val="16"/>
  </w:num>
  <w:num w:numId="15">
    <w:abstractNumId w:val="29"/>
  </w:num>
  <w:num w:numId="16">
    <w:abstractNumId w:val="32"/>
  </w:num>
  <w:num w:numId="17">
    <w:abstractNumId w:val="10"/>
  </w:num>
  <w:num w:numId="18">
    <w:abstractNumId w:val="25"/>
  </w:num>
  <w:num w:numId="19">
    <w:abstractNumId w:val="13"/>
  </w:num>
  <w:num w:numId="20">
    <w:abstractNumId w:val="9"/>
  </w:num>
  <w:num w:numId="21">
    <w:abstractNumId w:val="21"/>
  </w:num>
  <w:num w:numId="22">
    <w:abstractNumId w:val="6"/>
  </w:num>
  <w:num w:numId="23">
    <w:abstractNumId w:val="19"/>
  </w:num>
  <w:num w:numId="24">
    <w:abstractNumId w:val="3"/>
  </w:num>
  <w:num w:numId="25">
    <w:abstractNumId w:val="7"/>
  </w:num>
  <w:num w:numId="26">
    <w:abstractNumId w:val="30"/>
  </w:num>
  <w:num w:numId="27">
    <w:abstractNumId w:val="2"/>
  </w:num>
  <w:num w:numId="28">
    <w:abstractNumId w:val="8"/>
  </w:num>
  <w:num w:numId="29">
    <w:abstractNumId w:val="28"/>
  </w:num>
  <w:num w:numId="30">
    <w:abstractNumId w:val="4"/>
  </w:num>
  <w:num w:numId="31">
    <w:abstractNumId w:val="24"/>
  </w:num>
  <w:num w:numId="32">
    <w:abstractNumId w:val="31"/>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28F9"/>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E1B"/>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B06"/>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93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298"/>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8EE"/>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5DE0"/>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57F5F"/>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148"/>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07CE0"/>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6873"/>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CB2"/>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3E"/>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2FF4"/>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042"/>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AD3"/>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6C3"/>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E78"/>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1E1B"/>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9DE"/>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41A"/>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3</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2021-01-15T21:46:00Z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